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lecms v3.03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lecms v3.03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4002457A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插件安装：将本插件文件直接覆盖系统原文件即可。本插件所有文件均由互亿无线在系统原文件基础上局部修改而成；若您的系统已完成二次开发，安装前请仔细核对插件文件，避免引发功能使用不便。</w:t>
      </w:r>
    </w:p>
    <w:p w14:paraId="4439415C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42CD219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使用管理员账号登录系统后台，依次进入【设置】→【短信设置】，开启「注册手机验证」功能，并填写互亿无线 APIID、APIKEY。</w:t>
      </w:r>
    </w:p>
    <w:p w14:paraId="01AADAAE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注意：开启注册手机验证前，需先关闭注册邮箱验证，两者同时开启会导致功能冲突。</w:t>
      </w:r>
    </w:p>
    <w:p w14:paraId="6AD57E7F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短信模板示例：您的验证码是：{$code}。请不要把验证码泄露给其他人。</w:t>
      </w:r>
    </w:p>
    <w:p w14:paraId="4BDF581F">
      <w:pPr>
        <w:snapToGrid w:val="0"/>
        <w:rPr>
          <w:rFonts w:hint="eastAsia" w:ascii="微软雅黑" w:hAnsi="微软雅黑" w:eastAsia="微软雅黑"/>
        </w:rPr>
      </w:pPr>
    </w:p>
    <w:p w14:paraId="3739DDD3">
      <w:pPr>
        <w:snapToGrid w:val="0"/>
      </w:pPr>
      <w:r>
        <w:drawing>
          <wp:inline distT="0" distB="0" distL="114300" distR="114300">
            <wp:extent cx="6187440" cy="3703955"/>
            <wp:effectExtent l="0" t="0" r="3810" b="1079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7440" cy="370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10ABC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br w:type="textWrapping"/>
      </w:r>
      <w:r>
        <w:rPr>
          <w:rFonts w:hint="eastAsia" w:ascii="微软雅黑" w:hAnsi="微软雅黑" w:eastAsia="微软雅黑"/>
          <w:lang w:val="en-US" w:eastAsia="zh-CN"/>
        </w:rPr>
        <w:t>3、</w:t>
      </w:r>
      <w:r>
        <w:rPr>
          <w:rFonts w:hint="eastAsia" w:ascii="微软雅黑" w:hAnsi="微软雅黑" w:eastAsia="微软雅黑"/>
        </w:rPr>
        <w:t>使用管理员账号登录系统后台，依次进入【设置】→【用户设置】，分别开启「用户注册」「注册验证码」「用户登录」三大功能。</w:t>
      </w:r>
    </w:p>
    <w:p w14:paraId="261695AB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注意：</w:t>
      </w:r>
      <w:r>
        <w:rPr>
          <w:rFonts w:hint="eastAsia" w:ascii="微软雅黑" w:hAnsi="微软雅黑" w:eastAsia="微软雅黑"/>
        </w:rPr>
        <w:t>若操作后页面无任何更新，清理系统缓存后重新查看即可。</w:t>
      </w:r>
    </w:p>
    <w:p w14:paraId="14AC16C9">
      <w:pPr>
        <w:snapToGrid w:val="0"/>
        <w:rPr>
          <w:rFonts w:hint="eastAsia" w:ascii="微软雅黑" w:hAnsi="微软雅黑" w:eastAsia="微软雅黑"/>
        </w:rPr>
      </w:pPr>
    </w:p>
    <w:p w14:paraId="34E3AD34">
      <w:pPr>
        <w:snapToGrid w:val="0"/>
      </w:pPr>
      <w:r>
        <w:drawing>
          <wp:inline distT="0" distB="0" distL="114300" distR="114300">
            <wp:extent cx="6183630" cy="4311650"/>
            <wp:effectExtent l="0" t="0" r="7620" b="1270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3630" cy="431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1778A">
      <w:pPr>
        <w:snapToGrid w:val="0"/>
        <w:rPr>
          <w:rFonts w:hint="eastAsia"/>
        </w:rPr>
      </w:pPr>
      <w:bookmarkStart w:id="0" w:name="_GoBack"/>
      <w:bookmarkEnd w:id="0"/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"https://user.ihuyi.com/new/p.html?c=lecms303"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https://user.ihuyi.com/new/p.html?c=lecms303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"https://user.ihuyi.com/new/p.html?c=lecms303"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https://user.ihuyi.com/new/p.html?c=lecms303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55A3D9"/>
    <w:multiLevelType w:val="singleLevel"/>
    <w:tmpl w:val="8855A3D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7050E55"/>
    <w:rsid w:val="1CF35F7A"/>
    <w:rsid w:val="319E3B07"/>
    <w:rsid w:val="334B25BD"/>
    <w:rsid w:val="33C70830"/>
    <w:rsid w:val="348C6893"/>
    <w:rsid w:val="41BF6718"/>
    <w:rsid w:val="47FA6B66"/>
    <w:rsid w:val="62F61313"/>
    <w:rsid w:val="63745B72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477</Words>
  <Characters>774</Characters>
  <Lines>22</Lines>
  <Paragraphs>6</Paragraphs>
  <TotalTime>32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2026-02-03T08:45:37Z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